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BB" w:rsidRDefault="004206BB" w:rsidP="0049156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91563" w:rsidRPr="00A851E6" w:rsidRDefault="00491563" w:rsidP="0049156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>Договор на оказание услуг по предоставлению кодов</w:t>
      </w:r>
      <w:r w:rsidR="00784D0E">
        <w:rPr>
          <w:rFonts w:ascii="Times New Roman" w:hAnsi="Times New Roman" w:cs="Times New Roman"/>
          <w:b/>
          <w:sz w:val="24"/>
        </w:rPr>
        <w:t xml:space="preserve"> маркировки участникам оборота </w:t>
      </w:r>
      <w:r w:rsidRPr="00A851E6">
        <w:rPr>
          <w:rFonts w:ascii="Times New Roman" w:hAnsi="Times New Roman" w:cs="Times New Roman"/>
          <w:b/>
          <w:sz w:val="24"/>
        </w:rPr>
        <w:t xml:space="preserve">товаров </w:t>
      </w:r>
      <w:r w:rsidR="00784D0E">
        <w:rPr>
          <w:rFonts w:ascii="Times New Roman" w:hAnsi="Times New Roman" w:cs="Times New Roman"/>
          <w:b/>
          <w:sz w:val="24"/>
        </w:rPr>
        <w:t>легкой промышленности</w:t>
      </w:r>
    </w:p>
    <w:p w:rsidR="00491563" w:rsidRPr="00A851E6" w:rsidRDefault="00491563" w:rsidP="0049156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91563" w:rsidRPr="00A851E6" w:rsidRDefault="00491563" w:rsidP="0049156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 xml:space="preserve">    г. Бишкек                                                                             «_» _________ 202_ г.</w:t>
      </w:r>
    </w:p>
    <w:p w:rsidR="00491563" w:rsidRPr="00A851E6" w:rsidRDefault="00491563" w:rsidP="00491563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«Альфа Телеком», именуемое в дальнейшем «Оператор», в лице полномочного представителя___________________________________, действующего на основании доверенности № ____ от ___________, с одной стороны, </w:t>
      </w:r>
    </w:p>
    <w:p w:rsidR="00491563" w:rsidRPr="00A851E6" w:rsidRDefault="00491563" w:rsidP="0049156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______________________________(полное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юридического лица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лице __________________ действующего на основании ____________, именуем(-ый/-ая) в дальнейшем «Участник», являясь участником оборота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обязательной маркировке средствами идентификации в соответствии с постановлением Правительства Российской Федерации 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84D0E" w:rsidRP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 (далее - Стороны), заключили Договор на оказание услуг по предоставлению кодов маркировки участникам оборота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Договор) о следующем.</w:t>
      </w:r>
    </w:p>
    <w:p w:rsidR="00491563" w:rsidRDefault="00491563" w:rsidP="0049156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Термины и сокращения</w:t>
      </w:r>
    </w:p>
    <w:p w:rsidR="00491563" w:rsidRPr="00A851E6" w:rsidRDefault="00491563" w:rsidP="00491563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Договора используются следующие понятия:</w:t>
      </w:r>
    </w:p>
    <w:p w:rsidR="00491563" w:rsidRPr="00A851E6" w:rsidRDefault="00491563" w:rsidP="004915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МТ РФ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государственная информационная система Российской Федерации мониторинга за оборотом товаров, подлежащих обязательной маркировке средствами идентификации;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АИС «Маркировка товаров»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данном Договоре - подсистема государственной автоматизированной информационной системы маркировки товаров Кыргызской Республики, обеспечивающая экспортеров товаров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кодами маркировки, эмиссия которых производится национальным оператором РФ, используемыми для формирования средств идентификации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маркировке средствами идентификации для ввоза на территорию Российской Федерации, а также для обмена информацией о маркированных товарах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реализованных в рамках трансграничной торговли, с национальным оператором Российской Федерации.</w:t>
      </w:r>
    </w:p>
    <w:p w:rsidR="00491563" w:rsidRPr="00A851E6" w:rsidRDefault="00491563" w:rsidP="00491563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размещенный в информационно-телекоммуникационной сети "Интернет" (далее - сеть "Интернет") на сайте оператора информационный сервис АИС «Маркировка товаров», и размещенный в каталоге маркированных товаров, предоставляемый Оператором в установленном порядке Участнику для оказания услуг согласно Договору;</w:t>
      </w:r>
    </w:p>
    <w:p w:rsidR="00491563" w:rsidRPr="00A851E6" w:rsidRDefault="00491563" w:rsidP="00491563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маркировки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уникальная последовательность символов, состоящая из кода идентификации и кода проверки, формируемая Оператором для целей идентификации товаров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потребительской упаковке, в соответствии с </w:t>
      </w:r>
      <w:hyperlink r:id="rId7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маркировки товаров, подлежащих обязательной маркировке средствами идентификации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8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26 апреля 2019 г. </w:t>
        </w:r>
        <w:r w:rsidR="00FD1C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515 "О системе маркировки товаров средствами идентификации и прослеживаемости движения товаров"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4D0E" w:rsidRPr="00A16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Правилами маркировки товаров легкой промышленности средствами идентификации</w:t>
      </w:r>
      <w:r w:rsidR="00784D0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9" w:history="1">
        <w:r w:rsidR="00784D0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31 декабря 2019 г. № 1956 "Об утверждении </w:t>
        </w:r>
        <w:r w:rsidR="00784D0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заявка Участника на получение Кодов маркировки, формируемая Участником в соответствии с условиями Договора и направляемая Оператору посредством личного кабинета в АИС «Маркировка товаров»;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 идентификации товаров</w:t>
      </w:r>
      <w:r w:rsidR="0078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маркировки в машиночитаемой форме, представленный в виде штрихового кода, формируемый в соответствии с требованиями Договора, для нанесения на потребительскую упаковку, или на товары, или на товарный ярлык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маркировки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уникальная последовательность символов, используемая для формирования средств идентификации, которая сгенерирована национальным оператором РФ.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идентификации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последовательность символов, представляющая собой уникальный номер экземпляра товара, состоящий из кода товара и индивидуального серийного номера.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лицевой счет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уникальный идентификационный номер Участника, под которым он зарегистрирован в биллинговой системе АИС «Маркировка товаров» и служащий для учета объема оказанных услуг, поступления и расходования денежных средств, внесенных по Договору в счет оплаты услуг.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Гарантийный Взнос (далее – ГВ)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 денежные средства, резервируемые в размере 7% от суммы, внесенной Участником в качестве предварительной оплаты (аванса) за Услуги Оператора, которые являются гарантией обеспечения исполнения Договора со стороны Участника при недостаточности денежных средств на основном лицевом счете Участника для оплаты Услуг Оператора, в результате изменения курса российского рубля к сому.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Лицевой счет ГВ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счет Участника служащий для учета поступления и расходования суммы ГВ.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Преобразование кода маркировки в средство идентификации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результат положительной обработки отчета о нанесении кода маркировки, заключающийся в модификации цифрово-буквенного кода маркировки в вид двумерного штрихового кода в формате DataMatrix.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b/>
          <w:sz w:val="27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491563" w:rsidRPr="00A851E6" w:rsidRDefault="00491563" w:rsidP="00491563">
      <w:pPr>
        <w:pStyle w:val="a4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обязуется в соответствии с Заявками Участника формировать указанное в Заявках Участника количество Кодов маркировки и предоставлять их Участнику (далее - Услуги), а Участник обязан оплачивать Услуги на условиях Договора.</w:t>
      </w:r>
    </w:p>
    <w:p w:rsidR="00491563" w:rsidRPr="00A851E6" w:rsidRDefault="00491563" w:rsidP="00491563">
      <w:pPr>
        <w:pStyle w:val="a4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Услуг, предусмотренных п.1.1. Договора, Оператор обеспечивает подключение Участника к АИС «Маркировка товаров» путем его регистрации в АИС «Маркировка товаров», а также предоставляет Участнику доступ к личному кабинету в АИС «Маркировка товаров» через  официальный сайт Оператора</w:t>
      </w:r>
      <w:r w:rsidRPr="00A851E6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условиями Договора. 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формирования средств идентификации товаров</w:t>
      </w:r>
      <w:r w:rsidR="00FD1C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легкой промышленности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осуществлении заказа кодов маркировки, передачи уведомления о преобразовании кодов маркировки в средства идентификации, а также о регистрации отгрузки, т.е. трансграничном перемещении маркированных товаров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представление сведений в АИС «Маркировка товаров» осуществляется Участником последовательно. </w:t>
      </w:r>
      <w:r w:rsidRPr="00A851E6" w:rsidDel="00A4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Оператор отказывает во внесении в АИС «Маркировка товаров» сведений, представляемых Участником, если представленные сведения подготовлены с нарушением установленного формата, содержат некорректные сведения либо не содержат обязательные сведения, установленные Оператором.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Ответственность за полноту, достоверность и своевременность сведений, направляемых в АИС «Маркировка товаров» несет Участник.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В рамках услуг, оказываемых Участнику в соответствии с Договором, Участник осуществляет обмен документами (Заявка Участника, уведомление о преобразовании кодов маркировки, отчет об отгрузке), необходимыми для выполнения своих обязательств по Договору, с Оператором посредством личного кабинета.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Для обеспечения маркировки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средствами идентификации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 направляет Оператору заявку на получение кодов маркировки (далее -заявка). Форма и формат заявки утверждаются Оператором и доступны Участнику в АИС «Маркировка товаров».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Заявка Участника должна содержать: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информацию о товаре, для которого необходимо эмитировать код маркировки,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количество запрашиваемых кодов маркировки;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индивидуальный серийный номер каждого экземпляра товара в случае, если он формируется Участником самостоятельно.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В выдаче кодов маркировки отказывается в следующих случаях: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заявка не соответствует форме и формату, утвержденным Оператором;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Участник не зарегистрирован в АИС «Маркировка товаров»; 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Участник заблокирован в АИС «Маркировка товаров»;</w:t>
      </w:r>
    </w:p>
    <w:p w:rsidR="00491563" w:rsidRPr="00A851E6" w:rsidRDefault="00491563" w:rsidP="00491563">
      <w:pPr>
        <w:spacing w:after="120" w:line="240" w:lineRule="auto"/>
        <w:rPr>
          <w:rFonts w:ascii="Times New Roman" w:hAnsi="Times New Roman" w:cs="Times New Roman"/>
          <w:sz w:val="24"/>
          <w:highlight w:val="yellow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отсутствие и/или недостаточность денежных средств, на балансе основного лицевого счета Участника для формирования соответствующей Заявки. 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hAnsi="Times New Roman" w:cs="Times New Roman"/>
          <w:sz w:val="24"/>
        </w:rPr>
        <w:t>д) недостаточность денежных средств на балансе лицевого счета ГВ Участника суммы, равной 7% от суммы соответствующей Заявки (по курсу НБКР на дату формирования Заявки.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Участник, не позднее 60 (шестидесяти) рабочих дней со дня получения кодов маркировки, обеспечивает их преобразование в средство идентификации товаров</w:t>
      </w:r>
      <w:r w:rsidR="00FD1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передает в АИС «Маркировка товаров» уведомление о преобразовании кодов маркировки.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Коды маркировки, содержащие коды идентификации, не включенные в уведомление о преобразовании кодов маркировки, переданные в соответствии с п. 2.8. Договора, аннулируются.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Услуга по предоставлению кода маркировки признается оказанной Оператором в момент регистрации - в АИС «Маркировка товаров» сведений, содержащихся в уведомлении о преобразовании кодов маркировки.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регистрации в АИС «Маркировка товаров» сведений о нанесении средств идентификации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отказывается, если будет установлено, что: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коды идентификации, указанные в уведомлении о преобразовании, отсутствуют в реестре средств идентификации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АИС «Маркировка товаров»;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уведомление о преобразовании кодов маркировки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представлено с нарушением требований, предусмотренных п. 2.1. Договора, либо по истечении срока, установленного п. 2.</w:t>
      </w:r>
      <w:r w:rsidRPr="00EF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Участник заблокирован в АИС «Маркировка товаров»;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 Уведомление об отказе в регистрации в АИС «Маркировка товаров» сведений о н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анесении средств идентификации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</w:t>
      </w:r>
      <w:r w:rsidR="00784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направляется посредством личного кабинета с указанием причины отказа и соответствующим статусом Заявки Участника.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и обязательства Сторон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Оператор принимает на себя следующие обязательства: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Предоставить доступ к АИС «Маркировка товаров» путем регистрации Участника в АИС «Маркировка товаров» в течение 3 (трех) рабочих дней со дня заключения Договора и направить Участнику по адресу электронной почты, указанному в Договоре, уведомление о регистрации в АИС «Маркировка товаров» с указанием логина и пароля для доступа к личному кабинету.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Формировать в соответствии с Заявками Участника Коды маркировки и предоставлять Коды маркировки посредством личного кабинета в АИС «Маркировка товаров» в порядке, установленном п. 2.6.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Оператор отказывает Участнику в выдаче Кодов маркировки в случаях, перечисленных в п. 2.7.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Предоставлять необходимую и достоверную информацию о порядке оказания Услуг и иные сведения, необходимые Участнику для исполнения Договора;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Устранить недостатки в оказании Услуг, находящихся в зоне ответственности Оператора, в срок не более 5 (пяти) рабочих дней с момента их возникновения и/или обнаружения, при наличии технической возможности.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Обеспечивать сохранность и неизменность информации, внесенной Участником в АИС «Маркировка товаров».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Оператор вправе: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Не предоставлять Услуги до внесения Участником предварительной оплаты (аванса) необходимой для формирования соответствующей Заявки Участника. 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Осуществлять регламентированные, технические и профилактические работы, оставляя за собой право приостановки системы на срок работ, определяющийся Оператором самостоятельно.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Ограничить или прекратить доступ Участника к АИС «Маркировка товаров» в соответствии с условиями Договора, а также в случаях, предусмотренных законодательством Кыргызской Республики.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Дополнять/изменять условия Договора в одностороннем порядке, уведомив Участника не менее чем за 10 (десять) календарных дней до применения изменений через СМИ или путем размещения информации на официальном сайте Оператора, либо SMS-рассылкой. Если после вступления изменений в силу, Участник продолжил потребление услуг, оказываемых Оператором, изменения считаются принятыми Участником.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Без согласия (без акцепта) Участника списывать из суммы ГВ, внесенного Участником согласно условиям Договора, денежные средства, в случае недостаточности денежных средств на основном лицевом счете Участника для формирования соответствующей Заявки.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Осуществить временную блокировку Участника в АИС «Маркировка товаров» до полного погашения задолженности, образовавшейся в рамках соответствующей Заявки.  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Участник принимает на себя следующие обязательства: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Заполнять Заявки Участника в соответствии с требованиями, изложенными и доступными в Личном кабинете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Обеспечивать после преобразования Кодов маркировки в Средства идентификации товаров</w:t>
      </w:r>
      <w:r w:rsidR="00FD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 АИС «Маркировка товаров» сведений в соответствии с п. 2.8. и 2.11.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Формировать Заявку после внесения на расчетный счет Оператора предварительной оплаты (аванса) в размере не менее суммы планируемой Заявки, с учетом суммы ГВ, которая составляет 7% от суммы соответствующей Заявки.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При формировании Заявки, во избежание блокирования лицевого счета Участника в АИС «МТ», корректно указывать данные, в том числе количество кодов маркировки, соответствующее сумме предварительной оплаты (аванса), внесенной Участником до формирования соответствующей Заявки.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услуги по предоставлению Кодов маркировки на условиях настоящего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 передавать третьим лицам логин и пароль от Личного кабинета и иные реквизиты Участника, используемые им в технических и иных взаимоотношениях с Оператором и принимать меры для защиты своего оконечного оборудования от вирусов и иных заражающих программное обеспечение и операционную систему программ (далее – вирус) путем установки соответствующего программного обеспечения, в т.ч. антивирусных программ, на конечном оборудовании. Соблюдать правила пользования услугами Оператора, которые публикуются в Личном кабинете Участника и на официальном сайте Оператора и принимать все изменения и/или дополнения, которые будут внесены в данный документ, а также принять все меры предосторожности для предотвращения и/или злоумышленного использования логина и пароля, предоставленного Оператором.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Добросовестно исполнять обязательства, установленные Договором.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Участник вправе: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Направлять Оператору Заявки на необходимое количество Кодов маркировки в течение срока действия настоящего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Преобразовывать Коды маркировки в течение 60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получения соответствующих Кодов маркировки в Средства идентификации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Коды маркировки, не преобразованные Участником в Средства идентификации товаров</w:t>
      </w:r>
      <w:r w:rsidR="0078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их получения, аннулируются.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любое время обратиться к Оператору с письменным заявлением о возврате денежных средств, внесенных Участником в качестве предварительной оплаты (аванса), за исключением суммы денежных средств, заблокированных за соответствующую Заявку Участника, а также Суммы ГВ в размере 7% от суммы Заявки. Возврат денежных средств осуществляется после подписания Сторонами акта об оказанных услугах,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поступления заявления Оператору, путем перечисления денежных средств на расчетный счет Участника.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Иные права и обязанности Сторон: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Каждая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информационно-технологическом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оплаты и взаиморасчетов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Цена услуги по предоставлению Кодов маркировки составляет - 0.6 (ноль целых шесть десятых) российских рублей с учетом всех налогов и сборов за 1 (один) Код маркировки. Стоимость оказанных услуг в сомах определяется исходя из количества преобразованных кодов маркировки по курсу Национального банка Кыргызской Республики (далее – НБКР) на дату направления Участником уведомления о преобразовании кодов маркировки и оформляется счетом-фактурой.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услуг по предоставлению Кодов маркировки осуществляется посредством перечисления Участником предварительной оплаты (аванса) на расчетный счет Оператора, указанный в Договоре, до формирования Заявки в АИС «Маркировка товаров». Предварительная оплата (аванс) вносится на расчетный счет Оператора в сомах. Все банковские расходы при оплате услуг по Договору, включая подлежащие оплате комиссии, несет Участник.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 и периодичность внесения авансовых платежей определяются Участником самостоятельно, исходя из количества Кодов маркировки, необходимых Участнику.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Предварительная оплата (аванс), внесенная Участником на расчетный счет Оператора будет автоматически делиться по следующей схеме: 7% от суммы авансового платежа будет зачисляться на лицевой счет ГВ Участника, остаток суммы будет зачислен на основной лицевой счет Участника.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формировании Участником Заявки, Оператор блокирует денежные средства на основном лицевом счете Участника на сумму Заявки до направления Участником уведомления о преобразовании кодов маркировки или до истечения срока преобразования кодов маркировки в средство идентификации, согласно п. 2.8. Договора, в зависимости от того, какое из событий наступит раньше.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Услуга по предоставлению Кода маркировки считается оказанной в срок, указанный в п.2.10.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недостаточности заблокированных согласно соответствующей Заявке Участника денежных средств на основном лицевом счете Участника, в результате изменения курса российского рубля к сому на день оказания услуги, недостаток денежных средств будет в безакцептном порядке погашаться с лицевого счета ГВ Участника. В случае, если сумма оказанных согласно соответствующей Заявке услуг будет меньше суммы, заблокированной согласно п. 4.5. Договора, в результате изменения курса российского рубля к сому, остаток денежных средств разблокируется и возвращается на баланс основного лицевого счета Участника.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недостаточности средств на лицевых счетах - основном и ГВ - для расчета за оказанную услугу, Участник обязан погасить задолженность </w:t>
      </w:r>
      <w:r w:rsidR="00D21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об оказанных услугах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 окончании каждого календарного месяца (далее - Расчетный период), но не позднее 5 числа месяца, следующего за Расчетным периодом, Оператор передает Участнику на подпи</w:t>
      </w:r>
      <w:r w:rsidR="00D2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сание Акт об оказанных услугах.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оказанных услугах (Приложение№1 к Договору) формируется в электронном виде, и передается посредством электронного документооборота с обязательным последующим направлением бумажного варианта согласно п. 9.2. Договора.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в течение 5 (пяти) рабочих дней с даты получения Акта об оказанных услугах обязан подписать его и в порядке, установленном в Договоре, передать или направить Оператору, мотивированный отказ от подписания Акта об оказанных услугах.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неполучении Оператором в указанный срок подписанного Участником Акта об оказанных услугах, при условии, что Участник не направил мотивированный отказ от подписания Акта об оказанных услугах в указанный в настоящем пункте срок, услуги по предоставлению Кодов маркировки считаются оказанными надлежащим образом и принятыми Участником.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Возражения Участника против соответствующих данных Оператора должны быть рассмотрены Оператором и решение по результатам рассмотрения должно быть направлено Участнику в течение 3 (трех) рабочих дней;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Если решение Оператора по результатам рассмотрения возражений Участника против данных соответствующего Акта об оказанных услугах, не удовлетворит Участника, то по его заявлению, в течение 3 (трех) рабочих дней Стороны создают конфликтную комиссию, состоящую из уполномоченных представителей Сторон, которая должна расследовать причины расхождения данных [разногласий] и принять согласованное решение в течение3 (трех) рабочих дней с момента создания комиссии;</w:t>
      </w:r>
    </w:p>
    <w:p w:rsidR="00D21E9F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Разногласия, не урегулированные в порядке, описанном выше, разрешаются в порядке, установленном регулирующим законодательством.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Сторонами Акт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оказанных услугах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числе, по умолчанию)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выставления Оператором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[счета-фактуры].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Акт об оказанных услугах формируется за Расчетный период с детализацией по Заявкам Участника и внесенным авансовым платежам. При возникновении споров Стороны обязуются провести сверку согласно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Договора.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личном кабинете Участника АИС «МТ» отражаются актуальные на текущую дату сведения о внесенных в качестве предварительной оплаты (аванса) денежных средствах, о стоимости предоставленных услуг по предоставлению Кодов маркировки, о заблокированной за соответствующую Заявку Участника сумме, сведения о балансе ГВ, а также сведения об остатке неиспользованных денежных средств.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Ответственность Сторон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 в соответствии с гражданским законодательством Кыргызской Республики и Договором.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Оператора перед Участником наступает в размере реального ущерба при наличии документально подтвержденной вины Оператора, а также при условии разумного и добросовестного исполнения (реализации) Участником обязательств, возложенных на последнего Договором. Оператор не несет ответственности, если невозможность передачи Участнику Кодов маркировки возникла по обстоятельствам, за которые Оператор не отвечает, в том числе по обстоятельствам которые возникли и/или зависят от Оператора государственной информационной системы мониторинга за оборотом товаров, подлежащих обязательной маркировке средствами идентификации Российской Федерации, а также по обстоятельствам связанным с использованием телематических каналов связи, их перегрузками, перебоями в работе Интернет-соединений, коммуникационных линий, каналов связи, иных аппаратных и программных средств, не находящихся во владении или ведении Оператора.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Оператор не несет ответственности за ущерб, возникший у Участника, если исполнение обязательств Оператором невозможно по обстоятельствам, за которые отвечает Участник.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Оператор не несет ответственности за внесение Участником данных, в том числе необходимое Участнику количество кодов маркировки, при формировании Заявки.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Участник несет ответственность за все обращения/действия в адрес Оператора и третьих лиц, совершенных через Личный кабинет Участника.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Обстоятельства непреодолимой силы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Подтверждением наличия обстоятельств непреодолимой силы является письменное свидетельство уполномоченных органов или уполномоченных организаций.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Сторона, которая не исполняет свои обязательства в результате действия обстоятельств непреодолимой силы, обязана в течение 3 (трех) рабочих дней письменно известить другую Сторону о наступлении обстоятельств непреодолимой силы, их влиянии на исполнение Договора.</w:t>
      </w:r>
    </w:p>
    <w:p w:rsidR="00491563" w:rsidRPr="00A851E6" w:rsidRDefault="00491563" w:rsidP="0049156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Разрешение споров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споры, связанные с заключением, исполнением и расторжением Договора, будут разрешаться Сторонами путем переговоров.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не достижении согласия между Сторонами спор между ними будет рассматриваться в судебном порядке в соответствии с действующим законодательством Кыргызской Республики.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Срок действия, изменение и расторжение Договора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момента подписания Сторонами и действует до момента его расторжения в установленном Договором порядке.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уведомляют друг друга об изменении следующих реквизитов: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места нахождения;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идентификационного номера налогоплательщика;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Участник уведомляет Оператора о соответствующих изменениях путем направления уведомления любым из способов, указанных в п. 9.2 Договора. Оператор уведомляет Участника путем размещения соответствующего уведомления на Сайте Оператора.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Прекращение Договора допускается в случаях, предусмотренных законодательством Кыргызской Республики и Договором.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Участник вправе в любое время в одностороннем внесудебном порядке отказаться от Договора, уведомив об этом Оператора. Договор прекращает свое действие по истечении 30 (тридцати) календарных дней с даты получения Оператором соответствующего уведомления.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При прекращении Договора либо в случае смены Оператора, в том числе при уступке им прав и обязанностей по Договору третьему лицу, Стороны обязаны провести окончательные взаиморасчеты на основании обоюдно подписанного акта сверки взаиморасчетов. </w:t>
      </w:r>
    </w:p>
    <w:p w:rsidR="00491563" w:rsidRPr="00A851E6" w:rsidRDefault="00491563" w:rsidP="0049156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Заключительные положения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 вопросам, не урегулированным Договором, Стороны руководствуются законодательством Кыргызской Республики.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Если иное не предусмотрено Договором, 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разделе 10 настоящего Договора, за исключением переписки, для которой прямо предусмотрен настоящим Договором обмен по электронной почте Сторон, указанной в п. 9.3. Договора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Контактные лица Сторон: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260"/>
        <w:gridCol w:w="2948"/>
      </w:tblGrid>
      <w:tr w:rsidR="00491563" w:rsidRPr="00A851E6" w:rsidTr="002C11B8">
        <w:trPr>
          <w:trHeight w:val="21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491563" w:rsidRPr="00A851E6" w:rsidTr="002C11B8">
        <w:trPr>
          <w:trHeight w:val="5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784D0E" w:rsidP="00FB26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Чоорова Гульзат</w:t>
            </w:r>
            <w:r w:rsidR="0049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</w:t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B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r w:rsidR="00FB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 (+1110)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teksher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</w:tr>
      <w:tr w:rsidR="00491563" w:rsidRPr="00A851E6" w:rsidTr="002C11B8">
        <w:trPr>
          <w:trHeight w:val="2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+996 999 333 999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teksher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</w:tr>
    </w:tbl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от Участника:</w:t>
      </w:r>
    </w:p>
    <w:tbl>
      <w:tblPr>
        <w:tblW w:w="9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3008"/>
      </w:tblGrid>
      <w:tr w:rsidR="00491563" w:rsidRPr="00A851E6" w:rsidTr="002C11B8">
        <w:trPr>
          <w:trHeight w:val="2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491563" w:rsidRPr="00A851E6" w:rsidTr="002C11B8">
        <w:trPr>
          <w:trHeight w:val="26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63" w:rsidRPr="00A851E6" w:rsidTr="002C11B8">
        <w:trPr>
          <w:trHeight w:val="2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Документы признаются надлежащим образом направленными и имеющими юридическую силу для Сторон при их направлении способами, установленными п.9.2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Каждая из Сторон заверяет другую Сторону о том, что обладает полной правоспособностью и полномочиями на заключение Договора и исполнение всех установленных обязательств, в том числе Сторона получила все необходимые разрешения и одобрение, получение которых необходимо в соответствии с законодательством Кыргызской Республики, учредительными документами.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Подписывая настоящий Договор, Участник подтверждает, что экземпляр Договора им получен, условия им прочитаны и он согласен считать их в качестве обязательных для регулирования правоотношений между Оператором и Участником.</w:t>
      </w:r>
      <w:r w:rsidR="00D2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563" w:rsidRPr="00A851E6" w:rsidRDefault="00491563" w:rsidP="0049156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Адреса, реквизиты и подписи сторон: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491563" w:rsidRPr="00A851E6" w:rsidTr="002C11B8">
        <w:trPr>
          <w:trHeight w:val="1840"/>
        </w:trPr>
        <w:tc>
          <w:tcPr>
            <w:tcW w:w="4820" w:type="dxa"/>
            <w:shd w:val="clear" w:color="auto" w:fill="auto"/>
          </w:tcPr>
          <w:tbl>
            <w:tblPr>
              <w:tblW w:w="4887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</w:tblGrid>
            <w:tr w:rsidR="00491563" w:rsidRPr="00A851E6" w:rsidTr="002C11B8">
              <w:trPr>
                <w:trHeight w:val="3596"/>
              </w:trPr>
              <w:tc>
                <w:tcPr>
                  <w:tcW w:w="4887" w:type="dxa"/>
                </w:tcPr>
                <w:p w:rsidR="00491563" w:rsidRPr="00A851E6" w:rsidRDefault="00491563" w:rsidP="002C11B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Оператор 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ЗАО «Альфа Телеком»</w:t>
                  </w:r>
                </w:p>
                <w:p w:rsidR="005C6CBE" w:rsidRDefault="0053757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Юр.а</w:t>
                  </w:r>
                  <w:r w:rsidR="00491563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дрес: Кыргызская Республика, 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Бишкек, ул. Суюмбаева 123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00406200910056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ОКПО:</w:t>
                  </w:r>
                  <w:r>
                    <w:t xml:space="preserve"> </w:t>
                  </w:r>
                  <w:r w:rsidRPr="0063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26611735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Р/счет: </w:t>
                  </w:r>
                  <w:r w:rsidR="005C6CBE" w:rsidRP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1350100021048727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БАНК: </w:t>
                  </w:r>
                  <w:r w:rsid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«Айыл Банк»</w:t>
                  </w:r>
                </w:p>
                <w:p w:rsidR="00491563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БИК: </w:t>
                  </w:r>
                  <w:r w:rsidR="005C6CBE" w:rsidRP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135001</w:t>
                  </w:r>
                </w:p>
                <w:p w:rsidR="005C6CBE" w:rsidRDefault="005C6CBE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1563" w:rsidRPr="00A851E6" w:rsidRDefault="00491563" w:rsidP="002C11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491563" w:rsidRPr="00A851E6" w:rsidRDefault="00491563" w:rsidP="002C11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_________________/______________/ </w:t>
                  </w: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М.П.</w:t>
                  </w:r>
                </w:p>
              </w:tc>
            </w:tr>
          </w:tbl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491563" w:rsidRPr="00A851E6" w:rsidRDefault="00EA6305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ОсОО «___________________________»</w:t>
            </w:r>
            <w:r w:rsidR="0049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</w:t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Факт.адрес: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_________________/_______________/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491563" w:rsidRPr="00A851E6" w:rsidRDefault="00491563" w:rsidP="00491563">
      <w:pPr>
        <w:rPr>
          <w:rFonts w:ascii="Times New Roman" w:hAnsi="Times New Roman" w:cs="Times New Roman"/>
        </w:rPr>
      </w:pPr>
      <w:r w:rsidRPr="00A851E6">
        <w:rPr>
          <w:rFonts w:ascii="Times New Roman" w:hAnsi="Times New Roman" w:cs="Times New Roman"/>
        </w:rPr>
        <w:br w:type="page"/>
      </w:r>
    </w:p>
    <w:p w:rsidR="00491563" w:rsidRDefault="00491563" w:rsidP="00491563">
      <w:pPr>
        <w:ind w:left="6379"/>
        <w:rPr>
          <w:rFonts w:ascii="Times New Roman" w:hAnsi="Times New Roman" w:cs="Times New Roman"/>
          <w:sz w:val="24"/>
          <w:szCs w:val="24"/>
        </w:rPr>
        <w:sectPr w:rsidR="00491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563" w:rsidRPr="00731435" w:rsidRDefault="00491563" w:rsidP="00491563">
      <w:pPr>
        <w:ind w:left="7513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>Приложение №1 к Договору на оказание услуг по предоставлению кодов маркировки участникам оборота товаров</w:t>
      </w:r>
      <w:r w:rsidR="00FD1C12">
        <w:rPr>
          <w:rFonts w:ascii="Tahoma" w:hAnsi="Tahoma" w:cs="Tahoma"/>
          <w:b/>
          <w:sz w:val="14"/>
          <w:szCs w:val="18"/>
        </w:rPr>
        <w:t xml:space="preserve"> легкой промышленности</w:t>
      </w:r>
      <w:r w:rsidRPr="00731435">
        <w:rPr>
          <w:rFonts w:ascii="Tahoma" w:hAnsi="Tahoma" w:cs="Tahoma"/>
          <w:b/>
          <w:sz w:val="14"/>
          <w:szCs w:val="18"/>
        </w:rPr>
        <w:t xml:space="preserve"> № ___ от «_» ______2021 г.</w:t>
      </w:r>
      <w:r w:rsidRPr="00731435">
        <w:rPr>
          <w:rFonts w:ascii="Tahoma" w:hAnsi="Tahoma" w:cs="Tahoma"/>
          <w:b/>
          <w:sz w:val="14"/>
          <w:szCs w:val="18"/>
        </w:rPr>
        <w:br/>
      </w:r>
    </w:p>
    <w:p w:rsidR="00491563" w:rsidRDefault="00491563" w:rsidP="00491563">
      <w:pPr>
        <w:pStyle w:val="a3"/>
        <w:jc w:val="center"/>
        <w:rPr>
          <w:rFonts w:ascii="Tahoma" w:hAnsi="Tahoma" w:cs="Tahoma"/>
          <w:b/>
          <w:sz w:val="14"/>
          <w:szCs w:val="18"/>
        </w:rPr>
      </w:pPr>
      <w:r>
        <w:rPr>
          <w:rFonts w:ascii="Tahoma" w:hAnsi="Tahoma" w:cs="Tahoma"/>
          <w:b/>
          <w:sz w:val="14"/>
          <w:szCs w:val="18"/>
        </w:rPr>
        <w:t xml:space="preserve">Форма </w:t>
      </w:r>
    </w:p>
    <w:p w:rsidR="00491563" w:rsidRPr="00731435" w:rsidRDefault="00491563" w:rsidP="00491563">
      <w:pPr>
        <w:pStyle w:val="a3"/>
        <w:jc w:val="center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>Акта об оказанных услугах</w:t>
      </w:r>
    </w:p>
    <w:p w:rsidR="00491563" w:rsidRPr="00731435" w:rsidRDefault="00491563" w:rsidP="00491563">
      <w:pPr>
        <w:shd w:val="clear" w:color="auto" w:fill="FFFFFF"/>
        <w:jc w:val="center"/>
        <w:rPr>
          <w:rFonts w:ascii="Tahoma" w:hAnsi="Tahoma" w:cs="Tahoma"/>
          <w:b/>
          <w:bCs/>
          <w:spacing w:val="1"/>
          <w:sz w:val="14"/>
          <w:szCs w:val="18"/>
        </w:rPr>
      </w:pPr>
      <w:r w:rsidRPr="00731435">
        <w:rPr>
          <w:rFonts w:ascii="Tahoma" w:hAnsi="Tahoma" w:cs="Tahoma"/>
          <w:spacing w:val="-3"/>
          <w:sz w:val="14"/>
          <w:szCs w:val="18"/>
        </w:rPr>
        <w:t>г. Бишкек</w:t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  <w:t xml:space="preserve">                                                         «__»____________</w:t>
      </w:r>
      <w:r w:rsidRPr="00731435">
        <w:rPr>
          <w:rFonts w:ascii="Tahoma" w:hAnsi="Tahoma" w:cs="Tahoma"/>
          <w:sz w:val="14"/>
          <w:szCs w:val="18"/>
        </w:rPr>
        <w:tab/>
        <w:t>20__г.</w:t>
      </w:r>
    </w:p>
    <w:p w:rsidR="008C135B" w:rsidRDefault="00491563" w:rsidP="008C135B">
      <w:pPr>
        <w:ind w:firstLine="708"/>
        <w:rPr>
          <w:rFonts w:ascii="Tahoma" w:hAnsi="Tahoma" w:cs="Tahoma"/>
          <w:sz w:val="14"/>
          <w:szCs w:val="18"/>
        </w:rPr>
      </w:pPr>
      <w:r w:rsidRPr="00731435">
        <w:rPr>
          <w:rFonts w:ascii="Tahoma" w:hAnsi="Tahoma" w:cs="Tahoma"/>
          <w:sz w:val="14"/>
          <w:szCs w:val="18"/>
        </w:rPr>
        <w:t xml:space="preserve">Мы нижеподписавшиеся ЗАО “Альфа Телеком”, именуемое в дальнейшем “Оператор”, в лице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полномочного представителя________, действующ(-его/-ей) на основании доверенности № ____ от ___</w:t>
      </w:r>
      <w:r w:rsidRPr="00731435">
        <w:rPr>
          <w:rFonts w:ascii="Tahoma" w:hAnsi="Tahoma" w:cs="Tahoma"/>
          <w:sz w:val="14"/>
          <w:szCs w:val="18"/>
        </w:rPr>
        <w:t xml:space="preserve">с одной стороны, и _________ ИНН ___________,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 xml:space="preserve">именуем(-ый/-ая) </w:t>
      </w:r>
      <w:r w:rsidRPr="00731435">
        <w:rPr>
          <w:rFonts w:ascii="Tahoma" w:hAnsi="Tahoma" w:cs="Tahoma"/>
          <w:sz w:val="14"/>
          <w:szCs w:val="18"/>
        </w:rPr>
        <w:t xml:space="preserve">в дальнейшем “Участник”, составили настоящий акт о том, что за период с 01.__.202_ по 31.__.202_ (далее </w:t>
      </w:r>
      <w:r>
        <w:rPr>
          <w:rFonts w:ascii="Tahoma" w:hAnsi="Tahoma" w:cs="Tahoma"/>
          <w:sz w:val="14"/>
          <w:szCs w:val="18"/>
        </w:rPr>
        <w:t>–</w:t>
      </w:r>
      <w:r w:rsidRPr="00731435">
        <w:rPr>
          <w:rFonts w:ascii="Tahoma" w:hAnsi="Tahoma" w:cs="Tahoma"/>
          <w:sz w:val="14"/>
          <w:szCs w:val="18"/>
        </w:rPr>
        <w:t xml:space="preserve"> “Отчетный период”)</w:t>
      </w:r>
    </w:p>
    <w:tbl>
      <w:tblPr>
        <w:tblStyle w:val="TableGrid"/>
        <w:tblW w:w="15011" w:type="dxa"/>
        <w:tblInd w:w="-301" w:type="dxa"/>
        <w:tblCellMar>
          <w:top w:w="44" w:type="dxa"/>
          <w:left w:w="26" w:type="dxa"/>
          <w:bottom w:w="5" w:type="dxa"/>
          <w:right w:w="2" w:type="dxa"/>
        </w:tblCellMar>
        <w:tblLook w:val="04A0" w:firstRow="1" w:lastRow="0" w:firstColumn="1" w:lastColumn="0" w:noHBand="0" w:noVBand="1"/>
      </w:tblPr>
      <w:tblGrid>
        <w:gridCol w:w="2463"/>
        <w:gridCol w:w="920"/>
        <w:gridCol w:w="859"/>
        <w:gridCol w:w="807"/>
        <w:gridCol w:w="1143"/>
        <w:gridCol w:w="1196"/>
        <w:gridCol w:w="1162"/>
        <w:gridCol w:w="1132"/>
        <w:gridCol w:w="593"/>
        <w:gridCol w:w="547"/>
        <w:gridCol w:w="849"/>
        <w:gridCol w:w="891"/>
        <w:gridCol w:w="1338"/>
        <w:gridCol w:w="1111"/>
      </w:tblGrid>
      <w:tr w:rsidR="008C135B" w:rsidRPr="000006B4" w:rsidTr="009B47AF">
        <w:trPr>
          <w:trHeight w:val="19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7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Платежи/авансы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0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Услуга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51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</w:rPr>
              <w:t xml:space="preserve">Расчёты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left="62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Дополнительная информация</w:t>
            </w:r>
          </w:p>
        </w:tc>
      </w:tr>
      <w:tr w:rsidR="008C135B" w:rsidRPr="000006B4" w:rsidTr="009B47AF">
        <w:trPr>
          <w:trHeight w:val="1089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Дата и время пополнения </w:t>
            </w:r>
          </w:p>
          <w:p w:rsidR="008C135B" w:rsidRPr="000006B4" w:rsidRDefault="008C135B" w:rsidP="009B47AF">
            <w:pPr>
              <w:spacing w:line="259" w:lineRule="auto"/>
              <w:ind w:left="165" w:hanging="13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лицевого счета и счета ГВ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2" w:lineRule="auto"/>
              <w:ind w:left="72" w:firstLine="14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Сумма пополнения </w:t>
            </w:r>
          </w:p>
          <w:p w:rsidR="008C135B" w:rsidRPr="000006B4" w:rsidRDefault="008C135B" w:rsidP="009B47AF">
            <w:pPr>
              <w:spacing w:line="271" w:lineRule="auto"/>
              <w:ind w:left="216" w:hanging="6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лицевого счета с </w:t>
            </w:r>
          </w:p>
          <w:p w:rsidR="008C135B" w:rsidRPr="000006B4" w:rsidRDefault="008C135B" w:rsidP="009B47AF">
            <w:pPr>
              <w:spacing w:line="259" w:lineRule="auto"/>
              <w:ind w:left="308" w:hanging="215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учетом ГВ, сом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ind w:firstLine="195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Сумма пополнения счета ГВ, сом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ind w:left="8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Товарная группа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2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Дата и время успешной </w:t>
            </w:r>
          </w:p>
          <w:p w:rsidR="008C135B" w:rsidRPr="000006B4" w:rsidRDefault="008C135B" w:rsidP="009B47AF">
            <w:pPr>
              <w:spacing w:line="259" w:lineRule="auto"/>
              <w:ind w:left="72" w:right="72" w:hanging="31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обработки заявки о преобразовании кодов маркировки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ind w:firstLine="16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Количество преобразованных кодов маркировки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Курс валюты на дату </w:t>
            </w:r>
          </w:p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преобразования кодов маркировки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Итоговая сумма успешно </w:t>
            </w:r>
          </w:p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обработанной заявки о </w:t>
            </w:r>
          </w:p>
          <w:p w:rsidR="008C135B" w:rsidRPr="000006B4" w:rsidRDefault="008C135B" w:rsidP="009B47AF">
            <w:pPr>
              <w:spacing w:line="259" w:lineRule="auto"/>
              <w:ind w:left="31" w:firstLine="6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преобразовании кодов маркировки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ind w:left="51" w:firstLine="8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 xml:space="preserve">Остаток доступного баланса </w:t>
            </w:r>
          </w:p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лицевого счета, сом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 xml:space="preserve">Сумма к доплате </w:t>
            </w:r>
          </w:p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Участником, сом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Детализация успешно </w:t>
            </w:r>
          </w:p>
          <w:p w:rsidR="008C135B" w:rsidRPr="000006B4" w:rsidRDefault="008C135B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обработанной заявки о </w:t>
            </w:r>
          </w:p>
          <w:p w:rsidR="008C135B" w:rsidRPr="000006B4" w:rsidRDefault="008C135B" w:rsidP="009B47AF">
            <w:pPr>
              <w:spacing w:line="272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преобразовании кодов </w:t>
            </w:r>
          </w:p>
          <w:p w:rsidR="008C135B" w:rsidRPr="000006B4" w:rsidRDefault="008C135B" w:rsidP="009B47AF">
            <w:pPr>
              <w:spacing w:line="259" w:lineRule="auto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маркировки, руб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71" w:lineRule="auto"/>
              <w:ind w:left="339" w:hanging="15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Детализация суммы </w:t>
            </w:r>
          </w:p>
          <w:p w:rsidR="008C135B" w:rsidRPr="000006B4" w:rsidRDefault="008C135B" w:rsidP="009B47AF">
            <w:pPr>
              <w:spacing w:line="259" w:lineRule="auto"/>
              <w:ind w:left="431" w:hanging="369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преобразования, сом</w:t>
            </w:r>
          </w:p>
        </w:tc>
      </w:tr>
      <w:tr w:rsidR="008C135B" w:rsidRPr="000006B4" w:rsidTr="009B47A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ind w:right="104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руб. с учетом НДС РФ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ind w:right="42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сом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</w:tr>
      <w:tr w:rsidR="008C135B" w:rsidRPr="000006B4" w:rsidTr="009B47AF">
        <w:trPr>
          <w:trHeight w:val="22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13</w:t>
            </w:r>
          </w:p>
        </w:tc>
      </w:tr>
      <w:tr w:rsidR="008C135B" w:rsidRPr="000006B4" w:rsidTr="009B47AF">
        <w:trPr>
          <w:trHeight w:val="48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Остаток от предыдущего пополнения с учетом ГВ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left="82" w:right="112" w:firstLine="8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___ кодов маркировки по курсу ___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481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МЗКМ. Категория. </w:t>
            </w:r>
            <w:r w:rsidRPr="000006B4">
              <w:rPr>
                <w:rFonts w:ascii="Tahoma" w:eastAsia="Calibri" w:hAnsi="Tahoma" w:cs="Tahoma"/>
                <w:i/>
                <w:sz w:val="18"/>
                <w:szCs w:val="18"/>
              </w:rPr>
              <w:t>Текстиль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left="82" w:right="112" w:firstLine="8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___ кодов маркировки по курсу ___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Итого по оказанной услуге: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ind w:right="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МЗКМ.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35B" w:rsidRPr="000006B4" w:rsidRDefault="008C135B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Итого по оказанной услуге: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135B" w:rsidRPr="000006B4" w:rsidRDefault="008C135B" w:rsidP="009B47AF">
            <w:pPr>
              <w:tabs>
                <w:tab w:val="center" w:pos="708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                -</w:t>
            </w:r>
            <w:r w:rsidRPr="000006B4">
              <w:rPr>
                <w:rFonts w:ascii="Tahoma" w:eastAsia="Calibri" w:hAnsi="Tahoma" w:cs="Tahoma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5B" w:rsidRPr="000006B4" w:rsidTr="009B47AF">
        <w:trPr>
          <w:trHeight w:val="2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line="259" w:lineRule="auto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Общая сумма: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5B" w:rsidRPr="000006B4" w:rsidRDefault="008C135B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</w:tr>
    </w:tbl>
    <w:p w:rsidR="008C135B" w:rsidRPr="008C135B" w:rsidRDefault="008C135B" w:rsidP="0038639A">
      <w:pPr>
        <w:pStyle w:val="a4"/>
        <w:numPr>
          <w:ilvl w:val="0"/>
          <w:numId w:val="3"/>
        </w:numPr>
        <w:jc w:val="center"/>
        <w:rPr>
          <w:rFonts w:ascii="Tahoma" w:hAnsi="Tahoma" w:cs="Tahoma"/>
          <w:sz w:val="14"/>
          <w:szCs w:val="18"/>
        </w:rPr>
      </w:pPr>
      <w:r>
        <w:rPr>
          <w:noProof/>
          <w:sz w:val="14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070B" wp14:editId="416AF854">
                <wp:simplePos x="0" y="0"/>
                <wp:positionH relativeFrom="column">
                  <wp:posOffset>4080064</wp:posOffset>
                </wp:positionH>
                <wp:positionV relativeFrom="paragraph">
                  <wp:posOffset>1837055</wp:posOffset>
                </wp:positionV>
                <wp:extent cx="215153" cy="71718"/>
                <wp:effectExtent l="0" t="0" r="1397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71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4E89E" id="Прямоугольник 1" o:spid="_x0000_s1026" style="position:absolute;margin-left:321.25pt;margin-top:144.65pt;width:16.95pt;height: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" fillcolor="white [3201]" strokecolor="#70ad47 [3209]" strokeweight="1pt"/>
            </w:pict>
          </mc:Fallback>
        </mc:AlternateContent>
      </w:r>
      <w:r w:rsidRPr="008C135B">
        <w:rPr>
          <w:rFonts w:ascii="Tahoma" w:hAnsi="Tahoma" w:cs="Tahoma"/>
        </w:rPr>
        <w:t>Задолженность Оператора в пользу Участника ___________ сом. Или  Задолженность Участника в пользу Оператора __________ сом.</w:t>
      </w:r>
    </w:p>
    <w:p w:rsidR="008C135B" w:rsidRPr="008C135B" w:rsidRDefault="008C135B" w:rsidP="008C135B">
      <w:pPr>
        <w:pStyle w:val="a4"/>
        <w:rPr>
          <w:rFonts w:ascii="Tahoma" w:hAnsi="Tahoma" w:cs="Tahoma"/>
          <w:sz w:val="14"/>
          <w:szCs w:val="18"/>
        </w:rPr>
      </w:pPr>
      <w:r w:rsidRPr="008C135B">
        <w:rPr>
          <w:rFonts w:ascii="Tahoma" w:hAnsi="Tahoma" w:cs="Tahoma"/>
        </w:rPr>
        <w:t xml:space="preserve"> </w:t>
      </w:r>
    </w:p>
    <w:p w:rsidR="00491563" w:rsidRPr="008C135B" w:rsidRDefault="008C135B" w:rsidP="0038639A">
      <w:pPr>
        <w:pStyle w:val="a4"/>
        <w:numPr>
          <w:ilvl w:val="0"/>
          <w:numId w:val="3"/>
        </w:numPr>
        <w:jc w:val="center"/>
        <w:rPr>
          <w:rFonts w:ascii="Tahoma" w:hAnsi="Tahoma" w:cs="Tahoma"/>
          <w:sz w:val="14"/>
          <w:szCs w:val="18"/>
        </w:rPr>
      </w:pPr>
      <w:r w:rsidRPr="008C135B">
        <w:rPr>
          <w:rFonts w:ascii="Tahoma" w:hAnsi="Tahoma" w:cs="Tahoma"/>
        </w:rPr>
        <w:t>Настоящий Акт составлен и подписан в двух экземплярах, имеющих одинаковую юридическую силу, по одному для каждой из сторон.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4678"/>
        <w:gridCol w:w="3781"/>
        <w:gridCol w:w="5008"/>
      </w:tblGrid>
      <w:tr w:rsidR="00491563" w:rsidRPr="002E2DDD" w:rsidTr="002C11B8">
        <w:tc>
          <w:tcPr>
            <w:tcW w:w="4678" w:type="dxa"/>
          </w:tcPr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Участник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: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Pr="00731435">
              <w:rPr>
                <w:rFonts w:ascii="Tahoma" w:hAnsi="Tahoma" w:cs="Tahoma"/>
                <w:b/>
                <w:sz w:val="12"/>
                <w:szCs w:val="18"/>
              </w:rPr>
              <w:t>ОсОО «________________»</w:t>
            </w:r>
            <w:r w:rsidRPr="00731435">
              <w:rPr>
                <w:rFonts w:ascii="Tahoma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  <w:tc>
          <w:tcPr>
            <w:tcW w:w="3781" w:type="dxa"/>
          </w:tcPr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2"/>
                <w:szCs w:val="18"/>
              </w:rPr>
            </w:pPr>
          </w:p>
        </w:tc>
        <w:tc>
          <w:tcPr>
            <w:tcW w:w="5008" w:type="dxa"/>
          </w:tcPr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</w:tr>
      <w:tr w:rsidR="00491563" w:rsidRPr="002E2DDD" w:rsidTr="002C11B8">
        <w:tc>
          <w:tcPr>
            <w:tcW w:w="4678" w:type="dxa"/>
          </w:tcPr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Участник: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ОсОО «________________»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М.П.</w:t>
            </w:r>
          </w:p>
        </w:tc>
        <w:tc>
          <w:tcPr>
            <w:tcW w:w="3781" w:type="dxa"/>
          </w:tcPr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08" w:type="dxa"/>
          </w:tcPr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М.П.</w:t>
            </w:r>
          </w:p>
        </w:tc>
      </w:tr>
    </w:tbl>
    <w:p w:rsidR="00491563" w:rsidRPr="002E2DDD" w:rsidRDefault="00491563" w:rsidP="00491563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491563" w:rsidRPr="002E2DDD" w:rsidSect="00D215F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EE" w:rsidRDefault="00F97AEE" w:rsidP="00491563">
      <w:pPr>
        <w:spacing w:after="0" w:line="240" w:lineRule="auto"/>
      </w:pPr>
      <w:r>
        <w:separator/>
      </w:r>
    </w:p>
  </w:endnote>
  <w:endnote w:type="continuationSeparator" w:id="0">
    <w:p w:rsidR="00F97AEE" w:rsidRDefault="00F97AEE" w:rsidP="0049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EE" w:rsidRDefault="00F97AEE" w:rsidP="00491563">
      <w:pPr>
        <w:spacing w:after="0" w:line="240" w:lineRule="auto"/>
      </w:pPr>
      <w:r>
        <w:separator/>
      </w:r>
    </w:p>
  </w:footnote>
  <w:footnote w:type="continuationSeparator" w:id="0">
    <w:p w:rsidR="00F97AEE" w:rsidRDefault="00F97AEE" w:rsidP="00491563">
      <w:pPr>
        <w:spacing w:after="0" w:line="240" w:lineRule="auto"/>
      </w:pPr>
      <w:r>
        <w:continuationSeparator/>
      </w:r>
    </w:p>
  </w:footnote>
  <w:footnote w:id="1">
    <w:p w:rsidR="00491563" w:rsidRDefault="00491563" w:rsidP="00491563">
      <w:pPr>
        <w:pStyle w:val="a6"/>
      </w:pPr>
      <w:r>
        <w:rPr>
          <w:rStyle w:val="a8"/>
        </w:rPr>
        <w:footnoteRef/>
      </w:r>
      <w:r>
        <w:t xml:space="preserve"> </w:t>
      </w:r>
      <w:r w:rsidRPr="004C5618">
        <w:t>https://main.teksher.kg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519E"/>
    <w:multiLevelType w:val="hybridMultilevel"/>
    <w:tmpl w:val="4F0E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5B89"/>
    <w:multiLevelType w:val="hybridMultilevel"/>
    <w:tmpl w:val="CE4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3D61"/>
    <w:multiLevelType w:val="multilevel"/>
    <w:tmpl w:val="CC28C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3"/>
    <w:rsid w:val="000032E6"/>
    <w:rsid w:val="000361D8"/>
    <w:rsid w:val="000524DC"/>
    <w:rsid w:val="001D60FC"/>
    <w:rsid w:val="00253292"/>
    <w:rsid w:val="00295DBD"/>
    <w:rsid w:val="00377134"/>
    <w:rsid w:val="004206BB"/>
    <w:rsid w:val="00491563"/>
    <w:rsid w:val="00537573"/>
    <w:rsid w:val="005C6CBE"/>
    <w:rsid w:val="005D057F"/>
    <w:rsid w:val="00784D0E"/>
    <w:rsid w:val="008C135B"/>
    <w:rsid w:val="00902F70"/>
    <w:rsid w:val="00D215FB"/>
    <w:rsid w:val="00D21E9F"/>
    <w:rsid w:val="00DF5444"/>
    <w:rsid w:val="00EA6305"/>
    <w:rsid w:val="00F97AEE"/>
    <w:rsid w:val="00FB266C"/>
    <w:rsid w:val="00FB7DF7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D2AD-FB29-490F-A98E-BCC89660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56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9156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491563"/>
  </w:style>
  <w:style w:type="paragraph" w:styleId="a6">
    <w:name w:val="footnote text"/>
    <w:basedOn w:val="a"/>
    <w:link w:val="a7"/>
    <w:uiPriority w:val="99"/>
    <w:semiHidden/>
    <w:unhideWhenUsed/>
    <w:rsid w:val="0049156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156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1563"/>
    <w:rPr>
      <w:vertAlign w:val="superscript"/>
    </w:rPr>
  </w:style>
  <w:style w:type="table" w:customStyle="1" w:styleId="TableGrid">
    <w:name w:val="TableGrid"/>
    <w:rsid w:val="008C13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4408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4440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0557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Асекова Гульназ Асековна</dc:creator>
  <cp:keywords/>
  <dc:description/>
  <cp:lastModifiedBy>Чоорова Гульзат Джумабековна</cp:lastModifiedBy>
  <cp:revision>3</cp:revision>
  <dcterms:created xsi:type="dcterms:W3CDTF">2021-05-11T06:21:00Z</dcterms:created>
  <dcterms:modified xsi:type="dcterms:W3CDTF">2021-05-17T04:16:00Z</dcterms:modified>
</cp:coreProperties>
</file>